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1695"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E6E6E6"/>
        <w:tblLayout w:type="fixed"/>
        <w:tblCellMar>
          <w:top w:w="0" w:type="dxa"/>
          <w:left w:w="108" w:type="dxa"/>
          <w:bottom w:w="0" w:type="dxa"/>
          <w:right w:w="108" w:type="dxa"/>
        </w:tblCellMar>
      </w:tblPr>
      <w:tblGrid>
        <w:gridCol w:w="1451"/>
        <w:gridCol w:w="240"/>
        <w:gridCol w:w="4371"/>
        <w:gridCol w:w="70"/>
        <w:gridCol w:w="4550"/>
        <w:gridCol w:w="115"/>
        <w:gridCol w:w="898"/>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color="auto" w:fill="E6E6E6"/>
          <w:tblLayout w:type="fixed"/>
          <w:tblCellMar>
            <w:top w:w="0" w:type="dxa"/>
            <w:left w:w="108" w:type="dxa"/>
            <w:bottom w:w="0" w:type="dxa"/>
            <w:right w:w="108" w:type="dxa"/>
          </w:tblCellMar>
        </w:tblPrEx>
        <w:trPr>
          <w:gridAfter w:val="2"/>
          <w:wAfter w:w="1013" w:type="dxa"/>
          <w:trHeight w:val="2405" w:hRule="atLeast"/>
        </w:trPr>
        <w:tc>
          <w:tcPr>
            <w:tcW w:w="10682" w:type="dxa"/>
            <w:gridSpan w:val="5"/>
            <w:tcBorders>
              <w:bottom w:val="single" w:color="FFFFFF" w:sz="24" w:space="0"/>
            </w:tcBorders>
            <w:shd w:val="clear" w:color="auto" w:fill="000000"/>
            <w:vAlign w:val="center"/>
          </w:tcPr>
          <w:p>
            <w:pPr>
              <w:adjustRightInd w:val="0"/>
              <w:snapToGrid w:val="0"/>
              <w:jc w:val="center"/>
              <w:rPr>
                <w:rFonts w:ascii="微软雅黑" w:hAnsi="微软雅黑" w:eastAsia="微软雅黑" w:cs="微软雅黑"/>
                <w:color w:val="FFFFFF"/>
                <w:sz w:val="36"/>
                <w:szCs w:val="36"/>
              </w:rPr>
            </w:pPr>
            <w:bookmarkStart w:id="0" w:name="OLE_LINK75"/>
            <w:bookmarkStart w:id="1" w:name="OLE_LINK76"/>
            <w:bookmarkStart w:id="2" w:name="OLE_LINK77"/>
            <w:bookmarkStart w:id="3" w:name="OLE_LINK107"/>
            <w:bookmarkStart w:id="4" w:name="OLE_LINK79"/>
            <w:bookmarkStart w:id="5" w:name="OLE_LINK78"/>
            <w:r>
              <w:rPr>
                <w:rFonts w:hint="eastAsia" w:ascii="微软雅黑" w:hAnsi="微软雅黑" w:eastAsia="微软雅黑" w:cs="微软雅黑"/>
                <w:color w:val="FFFFFF"/>
                <w:sz w:val="36"/>
                <w:szCs w:val="36"/>
              </w:rPr>
              <w:t>McGill University Fall and Winter Semester</w:t>
            </w:r>
            <w:r>
              <w:rPr>
                <w:rFonts w:hint="eastAsia" w:ascii="微软雅黑" w:hAnsi="微软雅黑" w:eastAsia="微软雅黑" w:cs="微软雅黑"/>
                <w:bCs/>
                <w:color w:val="FFFFFF"/>
                <w:sz w:val="36"/>
                <w:szCs w:val="36"/>
              </w:rPr>
              <w:t xml:space="preserve"> </w:t>
            </w:r>
            <w:bookmarkEnd w:id="0"/>
            <w:bookmarkEnd w:id="1"/>
            <w:bookmarkEnd w:id="2"/>
            <w:bookmarkEnd w:id="3"/>
            <w:bookmarkEnd w:id="4"/>
            <w:bookmarkEnd w:id="5"/>
          </w:p>
          <w:p>
            <w:pPr>
              <w:adjustRightInd w:val="0"/>
              <w:snapToGrid w:val="0"/>
              <w:jc w:val="center"/>
              <w:rPr>
                <w:rFonts w:ascii="微软雅黑" w:hAnsi="微软雅黑" w:eastAsia="微软雅黑" w:cs="微软雅黑"/>
                <w:bCs/>
                <w:sz w:val="48"/>
                <w:szCs w:val="48"/>
              </w:rPr>
            </w:pPr>
            <w:r>
              <w:rPr>
                <w:rFonts w:hint="eastAsia" w:ascii="微软雅黑" w:hAnsi="微软雅黑" w:eastAsia="微软雅黑" w:cs="微软雅黑"/>
                <w:color w:val="FFFFFF"/>
                <w:sz w:val="36"/>
                <w:szCs w:val="36"/>
              </w:rPr>
              <w:t>麦吉尔大学秋冬季学期学分</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182" w:hRule="atLeast"/>
        </w:trPr>
        <w:tc>
          <w:tcPr>
            <w:tcW w:w="10797" w:type="dxa"/>
            <w:gridSpan w:val="6"/>
            <w:shd w:val="clear" w:color="auto" w:fill="FF0000"/>
            <w:vAlign w:val="center"/>
          </w:tcPr>
          <w:p>
            <w:pPr>
              <w:pStyle w:val="4"/>
              <w:adjustRightInd w:val="0"/>
              <w:snapToGrid w:val="0"/>
              <w:ind w:firstLine="480"/>
              <w:jc w:val="center"/>
              <w:rPr>
                <w:rFonts w:ascii="微软雅黑" w:hAnsi="微软雅黑" w:eastAsia="微软雅黑"/>
                <w:bCs/>
                <w:color w:val="FFFFFF"/>
                <w:sz w:val="20"/>
                <w:szCs w:val="20"/>
              </w:rPr>
            </w:pPr>
            <w:r>
              <w:rPr>
                <w:rFonts w:hint="eastAsia" w:ascii="微软雅黑" w:hAnsi="微软雅黑" w:eastAsia="微软雅黑" w:cs="微软雅黑"/>
                <w:b/>
                <w:bCs/>
                <w:color w:val="FFFFFF"/>
                <w:sz w:val="24"/>
                <w:szCs w:val="24"/>
              </w:rPr>
              <w:t>课程介绍</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746"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bookmarkStart w:id="6" w:name="_Hlk415758687"/>
            <w:bookmarkStart w:id="7" w:name="OLE_LINK11" w:colFirst="0" w:colLast="0"/>
            <w:bookmarkStart w:id="8" w:name="OLE_LINK10" w:colFirst="0" w:colLast="0"/>
            <w:r>
              <w:rPr>
                <w:rFonts w:hint="eastAsia" w:ascii="微软雅黑" w:hAnsi="微软雅黑" w:eastAsia="微软雅黑"/>
                <w:bCs/>
                <w:color w:val="FFFFFF"/>
                <w:sz w:val="20"/>
                <w:szCs w:val="20"/>
              </w:rPr>
              <w:t>招生要求</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06" w:type="dxa"/>
            <w:gridSpan w:val="4"/>
            <w:shd w:val="clear" w:color="auto" w:fill="F3F3F3"/>
            <w:vAlign w:val="center"/>
          </w:tcPr>
          <w:p>
            <w:pPr>
              <w:pStyle w:val="4"/>
              <w:adjustRightInd w:val="0"/>
              <w:snapToGrid w:val="0"/>
              <w:ind w:firstLine="0" w:firstLineChars="0"/>
              <w:rPr>
                <w:rFonts w:ascii="微软雅黑" w:hAnsi="微软雅黑" w:eastAsia="微软雅黑" w:cs="微软雅黑"/>
                <w:bCs/>
                <w:color w:val="003366"/>
                <w:sz w:val="20"/>
                <w:szCs w:val="20"/>
              </w:rPr>
            </w:pPr>
            <w:bookmarkStart w:id="9" w:name="OLE_LINK28"/>
            <w:bookmarkStart w:id="10" w:name="OLE_LINK27"/>
            <w:bookmarkStart w:id="11" w:name="OLE_LINK35"/>
            <w:r>
              <w:rPr>
                <w:rFonts w:hint="eastAsia" w:ascii="微软雅黑" w:hAnsi="微软雅黑" w:eastAsia="微软雅黑" w:cs="微软雅黑"/>
                <w:bCs/>
                <w:color w:val="003366"/>
                <w:sz w:val="20"/>
                <w:szCs w:val="20"/>
              </w:rPr>
              <w:t>所有报名学生必须进行英文笔试和电话面试。</w:t>
            </w:r>
          </w:p>
          <w:p>
            <w:pPr>
              <w:pStyle w:val="4"/>
              <w:adjustRightInd w:val="0"/>
              <w:snapToGrid w:val="0"/>
              <w:ind w:firstLine="0" w:firstLineChars="0"/>
              <w:rPr>
                <w:rFonts w:ascii="微软雅黑" w:hAnsi="微软雅黑" w:eastAsia="微软雅黑" w:cs="微软雅黑"/>
                <w:bCs/>
                <w:color w:val="003366"/>
                <w:sz w:val="20"/>
                <w:szCs w:val="20"/>
              </w:rPr>
            </w:pPr>
            <w:r>
              <w:rPr>
                <w:rFonts w:hint="eastAsia" w:ascii="微软雅黑" w:hAnsi="微软雅黑" w:eastAsia="微软雅黑" w:cs="微软雅黑"/>
                <w:bCs/>
                <w:color w:val="003366"/>
                <w:sz w:val="20"/>
                <w:szCs w:val="20"/>
              </w:rPr>
              <w:t>托福iBT不低于81分（且各子项均不低于20分）或雅思不低于6.5分（且各子项均不低于5.5分）</w:t>
            </w:r>
            <w:bookmarkEnd w:id="9"/>
            <w:bookmarkEnd w:id="10"/>
            <w:bookmarkEnd w:id="11"/>
            <w:r>
              <w:rPr>
                <w:rFonts w:hint="eastAsia" w:ascii="微软雅黑" w:hAnsi="微软雅黑" w:eastAsia="微软雅黑" w:cs="微软雅黑"/>
                <w:bCs/>
                <w:color w:val="003366"/>
                <w:sz w:val="20"/>
                <w:szCs w:val="20"/>
              </w:rPr>
              <w:t>者</w:t>
            </w:r>
            <w:r>
              <w:rPr>
                <w:rFonts w:ascii="微软雅黑" w:hAnsi="微软雅黑" w:eastAsia="微软雅黑" w:cs="微软雅黑"/>
                <w:bCs/>
                <w:color w:val="003366"/>
                <w:sz w:val="20"/>
                <w:szCs w:val="20"/>
              </w:rPr>
              <w:t>可以</w:t>
            </w:r>
            <w:r>
              <w:rPr>
                <w:rFonts w:hint="eastAsia" w:ascii="微软雅黑" w:hAnsi="微软雅黑" w:eastAsia="微软雅黑" w:cs="微软雅黑"/>
                <w:bCs/>
                <w:color w:val="003366"/>
                <w:sz w:val="20"/>
                <w:szCs w:val="20"/>
              </w:rPr>
              <w:t>考虑优先录取。</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411"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各专业课程</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06" w:type="dxa"/>
            <w:gridSpan w:val="4"/>
            <w:shd w:val="clear" w:color="auto" w:fill="F3F3F3"/>
            <w:vAlign w:val="center"/>
          </w:tcPr>
          <w:p>
            <w:pPr>
              <w:pStyle w:val="4"/>
              <w:adjustRightInd w:val="0"/>
              <w:snapToGrid w:val="0"/>
              <w:ind w:firstLine="0" w:firstLineChars="0"/>
              <w:jc w:val="left"/>
              <w:rPr>
                <w:rFonts w:ascii="微软雅黑" w:hAnsi="微软雅黑" w:eastAsia="微软雅黑"/>
                <w:bCs/>
                <w:color w:val="003366"/>
                <w:sz w:val="20"/>
                <w:szCs w:val="20"/>
              </w:rPr>
            </w:pPr>
            <w:r>
              <w:rPr>
                <w:rFonts w:hint="eastAsia" w:ascii="微软雅黑" w:hAnsi="微软雅黑" w:eastAsia="微软雅黑"/>
                <w:bCs/>
                <w:color w:val="003366"/>
                <w:sz w:val="20"/>
                <w:szCs w:val="20"/>
              </w:rPr>
              <w:t>详见Catalogue。</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656"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考试</w:t>
            </w:r>
          </w:p>
        </w:tc>
        <w:tc>
          <w:tcPr>
            <w:tcW w:w="240" w:type="dxa"/>
            <w:shd w:val="clear" w:color="auto" w:fill="FF0000"/>
            <w:vAlign w:val="center"/>
          </w:tcPr>
          <w:p>
            <w:pPr>
              <w:snapToGrid w:val="0"/>
              <w:jc w:val="left"/>
              <w:rPr>
                <w:rFonts w:ascii="微软雅黑" w:hAnsi="微软雅黑" w:eastAsia="微软雅黑" w:cs="微软雅黑"/>
                <w:sz w:val="20"/>
                <w:szCs w:val="20"/>
              </w:rPr>
            </w:pPr>
            <w:r>
              <w:rPr>
                <w:rFonts w:hint="eastAsia" w:ascii="微软雅黑" w:hAnsi="微软雅黑" w:eastAsia="微软雅黑" w:cs="微软雅黑"/>
                <w:sz w:val="20"/>
                <w:szCs w:val="20"/>
              </w:rPr>
              <w:t xml:space="preserve"> </w:t>
            </w:r>
          </w:p>
        </w:tc>
        <w:tc>
          <w:tcPr>
            <w:tcW w:w="9106" w:type="dxa"/>
            <w:gridSpan w:val="4"/>
            <w:tcBorders>
              <w:bottom w:val="single" w:color="FFFFFF" w:sz="24" w:space="0"/>
            </w:tcBorders>
            <w:shd w:val="clear" w:color="auto" w:fill="F3F3F3"/>
            <w:vAlign w:val="center"/>
          </w:tcPr>
          <w:p>
            <w:pPr>
              <w:pStyle w:val="4"/>
              <w:adjustRightInd w:val="0"/>
              <w:snapToGrid w:val="0"/>
              <w:ind w:firstLine="0" w:firstLineChars="0"/>
              <w:rPr>
                <w:rFonts w:ascii="微软雅黑" w:hAnsi="微软雅黑" w:eastAsia="微软雅黑"/>
                <w:bCs/>
                <w:color w:val="003366"/>
                <w:sz w:val="20"/>
                <w:szCs w:val="20"/>
              </w:rPr>
            </w:pPr>
            <w:r>
              <w:rPr>
                <w:rFonts w:hint="eastAsia" w:ascii="微软雅黑" w:hAnsi="微软雅黑" w:eastAsia="微软雅黑"/>
                <w:bCs/>
                <w:color w:val="003366"/>
                <w:sz w:val="20"/>
                <w:szCs w:val="20"/>
              </w:rPr>
              <w:t>学校将根据你的正式考试成绩或结合布置的作业完成情况来对你的学习进行综合评估。具体考试形式将由每门课的授课教授决定。</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394"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成绩单</w:t>
            </w:r>
          </w:p>
        </w:tc>
        <w:tc>
          <w:tcPr>
            <w:tcW w:w="240" w:type="dxa"/>
            <w:shd w:val="clear" w:color="auto" w:fill="FF0000"/>
            <w:vAlign w:val="center"/>
          </w:tcPr>
          <w:p>
            <w:pPr>
              <w:snapToGrid w:val="0"/>
              <w:jc w:val="left"/>
              <w:rPr>
                <w:rFonts w:ascii="微软雅黑" w:hAnsi="微软雅黑" w:eastAsia="微软雅黑" w:cs="微软雅黑"/>
                <w:sz w:val="20"/>
                <w:szCs w:val="20"/>
              </w:rPr>
            </w:pPr>
          </w:p>
        </w:tc>
        <w:tc>
          <w:tcPr>
            <w:tcW w:w="9106" w:type="dxa"/>
            <w:gridSpan w:val="4"/>
            <w:tcBorders>
              <w:bottom w:val="single" w:color="FFFFFF" w:sz="24" w:space="0"/>
            </w:tcBorders>
            <w:shd w:val="clear" w:color="auto" w:fill="F3F3F3"/>
            <w:vAlign w:val="center"/>
          </w:tcPr>
          <w:p>
            <w:pPr>
              <w:pStyle w:val="4"/>
              <w:adjustRightInd w:val="0"/>
              <w:snapToGrid w:val="0"/>
              <w:ind w:firstLine="0" w:firstLineChars="0"/>
              <w:rPr>
                <w:rFonts w:ascii="微软雅黑" w:hAnsi="微软雅黑" w:eastAsia="微软雅黑"/>
                <w:bCs/>
                <w:color w:val="003366"/>
                <w:sz w:val="20"/>
                <w:szCs w:val="20"/>
              </w:rPr>
            </w:pPr>
            <w:r>
              <w:rPr>
                <w:rFonts w:hint="eastAsia" w:ascii="微软雅黑" w:hAnsi="微软雅黑" w:eastAsia="微软雅黑"/>
                <w:bCs/>
                <w:color w:val="003366"/>
                <w:sz w:val="20"/>
                <w:szCs w:val="20"/>
              </w:rPr>
              <w:t>项目结束后，学校将提供正式成绩单。</w:t>
            </w:r>
            <w:bookmarkEnd w:id="6"/>
          </w:p>
        </w:tc>
      </w:tr>
      <w:bookmarkEnd w:id="7"/>
      <w:bookmarkEnd w:id="8"/>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4929"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bookmarkStart w:id="12" w:name="_GoBack"/>
            <w:bookmarkEnd w:id="12"/>
            <w:r>
              <w:rPr>
                <w:rFonts w:hint="eastAsia" w:ascii="微软雅黑" w:hAnsi="微软雅黑" w:eastAsia="微软雅黑"/>
                <w:bCs/>
                <w:color w:val="FFFFFF"/>
                <w:sz w:val="20"/>
                <w:szCs w:val="20"/>
              </w:rPr>
              <w:t>校园设施</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4441" w:type="dxa"/>
            <w:gridSpan w:val="2"/>
            <w:tcBorders>
              <w:right w:val="single" w:color="FFFFFF" w:sz="24" w:space="0"/>
            </w:tcBorders>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麦吉尔大学有十二个图书馆，超过五百万本书籍和杂志，两百三十万种电子书籍和杂志，上千种影音音像资料和各种地图，微缩印刷品。图书馆还提供校际图书馆借阅服务，古籍资料查询服务等各种图书馆学习相关服务。其中位于Downtown Campus的人文社科图书馆，即McLennan-Redpath Library（McLennan Library）为社科类学生广泛使用。本项目工科的学生也可使用Schulich Library of Science and Engineering。</w:t>
            </w:r>
          </w:p>
        </w:tc>
        <w:tc>
          <w:tcPr>
            <w:tcW w:w="4665" w:type="dxa"/>
            <w:gridSpan w:val="2"/>
            <w:tcBorders>
              <w:left w:val="single" w:color="FFFFFF" w:sz="24" w:space="0"/>
            </w:tcBorders>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rPr>
                <w:rFonts w:ascii="Calibri" w:hAnsi="Calibri" w:eastAsia="宋体" w:cs="Times New Roman"/>
                <w:kern w:val="2"/>
                <w:sz w:val="21"/>
                <w:szCs w:val="22"/>
                <w:lang w:val="en-US" w:eastAsia="zh-CN"/>
              </w:rPr>
              <w:drawing>
                <wp:inline distT="0" distB="0" distL="114300" distR="114300">
                  <wp:extent cx="2657475" cy="2711450"/>
                  <wp:effectExtent l="0" t="0" r="952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lum/>
                          </a:blip>
                          <a:stretch>
                            <a:fillRect/>
                          </a:stretch>
                        </pic:blipFill>
                        <pic:spPr>
                          <a:xfrm>
                            <a:off x="0" y="0"/>
                            <a:ext cx="2657475" cy="2711450"/>
                          </a:xfrm>
                          <a:prstGeom prst="rect">
                            <a:avLst/>
                          </a:prstGeom>
                          <a:noFill/>
                          <a:ln w="9525">
                            <a:noFill/>
                          </a:ln>
                        </pic:spPr>
                      </pic:pic>
                    </a:graphicData>
                  </a:graphic>
                </wp:inline>
              </w:drawing>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Humanities and Social Sciences Library</w:t>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（McLennan-Redpath Library）</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3814" w:hRule="atLeast"/>
        </w:trPr>
        <w:tc>
          <w:tcPr>
            <w:tcW w:w="1451" w:type="dxa"/>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校园设施</w:t>
            </w:r>
          </w:p>
        </w:tc>
        <w:tc>
          <w:tcPr>
            <w:tcW w:w="240" w:type="dxa"/>
            <w:shd w:val="clear" w:color="auto" w:fill="FF0000"/>
            <w:vAlign w:val="center"/>
          </w:tcPr>
          <w:p>
            <w:pPr>
              <w:snapToGrid w:val="0"/>
              <w:jc w:val="center"/>
              <w:rPr>
                <w:rFonts w:ascii="微软雅黑" w:hAnsi="微软雅黑" w:eastAsia="微软雅黑" w:cs="微软雅黑"/>
                <w:bCs/>
                <w:sz w:val="20"/>
                <w:szCs w:val="20"/>
              </w:rPr>
            </w:pPr>
          </w:p>
        </w:tc>
        <w:tc>
          <w:tcPr>
            <w:tcW w:w="4441" w:type="dxa"/>
            <w:gridSpan w:val="2"/>
            <w:tcBorders>
              <w:right w:val="single" w:color="FFFFFF" w:sz="24" w:space="0"/>
            </w:tcBorders>
            <w:shd w:val="clear" w:color="auto" w:fill="F3F3F3"/>
            <w:vAlign w:val="center"/>
          </w:tcPr>
          <w:p>
            <w:pPr>
              <w:widowControl/>
              <w:adjustRightInd w:val="0"/>
              <w:snapToGrid w:val="0"/>
              <w:jc w:val="left"/>
            </w:pPr>
            <w:r>
              <w:rPr>
                <w:rFonts w:ascii="Calibri" w:hAnsi="Calibri" w:eastAsia="宋体" w:cs="Times New Roman"/>
                <w:kern w:val="2"/>
                <w:sz w:val="21"/>
                <w:szCs w:val="22"/>
                <w:lang w:val="en-US" w:eastAsia="zh-CN"/>
              </w:rPr>
              <w:drawing>
                <wp:inline distT="0" distB="0" distL="114300" distR="114300">
                  <wp:extent cx="2962275" cy="215265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lum/>
                          </a:blip>
                          <a:stretch>
                            <a:fillRect/>
                          </a:stretch>
                        </pic:blipFill>
                        <pic:spPr>
                          <a:xfrm>
                            <a:off x="0" y="0"/>
                            <a:ext cx="2962275" cy="2152650"/>
                          </a:xfrm>
                          <a:prstGeom prst="rect">
                            <a:avLst/>
                          </a:prstGeom>
                          <a:noFill/>
                          <a:ln w="9525">
                            <a:noFill/>
                          </a:ln>
                        </pic:spPr>
                      </pic:pic>
                    </a:graphicData>
                  </a:graphic>
                </wp:inline>
              </w:drawing>
            </w:r>
          </w:p>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Schulich Library of Science and Engineering</w:t>
            </w:r>
          </w:p>
          <w:p>
            <w:pPr>
              <w:widowControl/>
              <w:adjustRightInd w:val="0"/>
              <w:snapToGrid w:val="0"/>
              <w:jc w:val="left"/>
            </w:pPr>
            <w:r>
              <w:rPr>
                <w:rFonts w:hint="eastAsia" w:ascii="微软雅黑" w:hAnsi="微软雅黑" w:eastAsia="微软雅黑" w:cs="微软雅黑"/>
                <w:color w:val="003366"/>
                <w:sz w:val="20"/>
                <w:szCs w:val="20"/>
              </w:rPr>
              <w:t>（Macdonald-Stewart Building）</w:t>
            </w:r>
          </w:p>
        </w:tc>
        <w:tc>
          <w:tcPr>
            <w:tcW w:w="4665" w:type="dxa"/>
            <w:gridSpan w:val="2"/>
            <w:tcBorders>
              <w:left w:val="single" w:color="FFFFFF" w:sz="24" w:space="0"/>
            </w:tcBorders>
            <w:shd w:val="clear" w:color="auto" w:fill="F3F3F3"/>
            <w:vAlign w:val="center"/>
          </w:tcPr>
          <w:p>
            <w:pPr>
              <w:widowControl/>
              <w:adjustRightInd w:val="0"/>
              <w:snapToGrid w:val="0"/>
              <w:jc w:val="left"/>
              <w:rPr>
                <w:rFonts w:ascii="微软雅黑" w:hAnsi="微软雅黑" w:eastAsia="微软雅黑" w:cs="微软雅黑"/>
                <w:color w:val="003366"/>
                <w:sz w:val="20"/>
                <w:szCs w:val="20"/>
              </w:rPr>
            </w:pPr>
            <w:r>
              <w:rPr>
                <w:rFonts w:hint="eastAsia" w:ascii="微软雅黑" w:hAnsi="微软雅黑" w:eastAsia="微软雅黑" w:cs="微软雅黑"/>
                <w:color w:val="003366"/>
                <w:kern w:val="2"/>
                <w:sz w:val="20"/>
                <w:szCs w:val="20"/>
                <w:lang w:val="en-US" w:eastAsia="zh-CN"/>
              </w:rPr>
              <w:drawing>
                <wp:inline distT="0" distB="0" distL="114300" distR="114300">
                  <wp:extent cx="5581650" cy="230505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lum/>
                          </a:blip>
                          <a:stretch>
                            <a:fillRect/>
                          </a:stretch>
                        </pic:blipFill>
                        <pic:spPr>
                          <a:xfrm>
                            <a:off x="0" y="0"/>
                            <a:ext cx="5581650" cy="2305050"/>
                          </a:xfrm>
                          <a:prstGeom prst="rect">
                            <a:avLst/>
                          </a:prstGeom>
                          <a:noFill/>
                          <a:ln w="9525">
                            <a:noFill/>
                          </a:ln>
                        </pic:spPr>
                      </pic:pic>
                    </a:graphicData>
                  </a:graphic>
                </wp:inline>
              </w:drawing>
            </w:r>
            <w:r>
              <w:rPr>
                <w:rFonts w:hint="eastAsia" w:ascii="微软雅黑" w:hAnsi="微软雅黑" w:eastAsia="微软雅黑" w:cs="微软雅黑"/>
                <w:color w:val="003366"/>
                <w:sz w:val="20"/>
                <w:szCs w:val="20"/>
              </w:rPr>
              <w:t>McGill University Bookstore</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cantSplit/>
          <w:trHeight w:val="1441" w:hRule="atLeast"/>
        </w:trPr>
        <w:tc>
          <w:tcPr>
            <w:tcW w:w="1451" w:type="dxa"/>
            <w:vMerge w:val="restart"/>
            <w:shd w:val="clear" w:color="auto" w:fill="000000"/>
            <w:vAlign w:val="center"/>
          </w:tcPr>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住宿</w:t>
            </w:r>
          </w:p>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及</w:t>
            </w:r>
          </w:p>
          <w:p>
            <w:pPr>
              <w:snapToGrid w:val="0"/>
              <w:jc w:val="center"/>
              <w:rPr>
                <w:rFonts w:ascii="微软雅黑" w:hAnsi="微软雅黑" w:eastAsia="微软雅黑"/>
                <w:bCs/>
                <w:color w:val="FFFFFF"/>
                <w:sz w:val="20"/>
                <w:szCs w:val="20"/>
              </w:rPr>
            </w:pPr>
            <w:r>
              <w:rPr>
                <w:rFonts w:hint="eastAsia" w:ascii="微软雅黑" w:hAnsi="微软雅黑" w:eastAsia="微软雅黑"/>
                <w:bCs/>
                <w:color w:val="FFFFFF"/>
                <w:sz w:val="20"/>
                <w:szCs w:val="20"/>
              </w:rPr>
              <w:t>餐饮</w:t>
            </w:r>
          </w:p>
        </w:tc>
        <w:tc>
          <w:tcPr>
            <w:tcW w:w="240" w:type="dxa"/>
            <w:vMerge w:val="restart"/>
            <w:shd w:val="clear" w:color="auto" w:fill="FF0000"/>
            <w:vAlign w:val="center"/>
          </w:tcPr>
          <w:p>
            <w:pPr>
              <w:snapToGrid w:val="0"/>
              <w:jc w:val="center"/>
              <w:rPr>
                <w:rFonts w:ascii="微软雅黑" w:hAnsi="微软雅黑" w:eastAsia="微软雅黑" w:cs="微软雅黑"/>
                <w:bCs/>
                <w:sz w:val="20"/>
                <w:szCs w:val="20"/>
              </w:rPr>
            </w:pPr>
          </w:p>
        </w:tc>
        <w:tc>
          <w:tcPr>
            <w:tcW w:w="9106" w:type="dxa"/>
            <w:gridSpan w:val="4"/>
            <w:shd w:val="clear" w:color="auto" w:fill="F3F3F3"/>
            <w:vAlign w:val="center"/>
          </w:tcPr>
          <w:p>
            <w:pPr>
              <w:pStyle w:val="4"/>
              <w:adjustRightInd w:val="0"/>
              <w:snapToGrid w:val="0"/>
              <w:ind w:firstLine="0" w:firstLineChars="0"/>
              <w:rPr>
                <w:rFonts w:ascii="微软雅黑" w:hAnsi="微软雅黑" w:eastAsia="微软雅黑" w:cs="微软雅黑"/>
                <w:bCs/>
                <w:sz w:val="20"/>
                <w:szCs w:val="20"/>
              </w:rPr>
            </w:pPr>
            <w:r>
              <w:rPr>
                <w:rFonts w:hint="eastAsia" w:ascii="微软雅黑" w:hAnsi="微软雅黑" w:eastAsia="微软雅黑" w:cs="微软雅黑"/>
                <w:bCs/>
                <w:color w:val="003366"/>
                <w:sz w:val="20"/>
                <w:szCs w:val="20"/>
              </w:rPr>
              <w:t>学校为学生提供校外学生公寓，距离学校步行约为10几分钟，学生也可以骑车或者坐地铁。双人间32.5平方米，两人合用卫生间，无线网，柜子桌椅等等。楼里还有健身房，瑜伽室，洗衣房，餐厅，24小时厨房，公共活动室等等。一学期住宿费用约为5000左右加币，两个学期约一万加币左右，具体依据房间住宿条件各有不同。</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cantSplit/>
          <w:trHeight w:val="1921" w:hRule="atLeast"/>
        </w:trPr>
        <w:tc>
          <w:tcPr>
            <w:tcW w:w="1451" w:type="dxa"/>
            <w:vMerge w:val="continue"/>
            <w:shd w:val="clear" w:color="auto" w:fill="000000"/>
            <w:vAlign w:val="center"/>
          </w:tcPr>
          <w:p>
            <w:pPr>
              <w:snapToGrid w:val="0"/>
              <w:jc w:val="center"/>
              <w:rPr>
                <w:rFonts w:ascii="微软雅黑" w:hAnsi="微软雅黑" w:eastAsia="微软雅黑"/>
                <w:bCs/>
                <w:color w:val="FFFFFF"/>
                <w:sz w:val="20"/>
                <w:szCs w:val="20"/>
              </w:rPr>
            </w:pPr>
          </w:p>
        </w:tc>
        <w:tc>
          <w:tcPr>
            <w:tcW w:w="240" w:type="dxa"/>
            <w:vMerge w:val="continue"/>
            <w:shd w:val="clear" w:color="auto" w:fill="FF0000"/>
            <w:vAlign w:val="center"/>
          </w:tcPr>
          <w:p>
            <w:pPr>
              <w:snapToGrid w:val="0"/>
              <w:jc w:val="center"/>
              <w:rPr>
                <w:rFonts w:ascii="微软雅黑" w:hAnsi="微软雅黑" w:eastAsia="微软雅黑" w:cs="微软雅黑"/>
                <w:bCs/>
                <w:sz w:val="20"/>
                <w:szCs w:val="20"/>
              </w:rPr>
            </w:pPr>
          </w:p>
        </w:tc>
        <w:tc>
          <w:tcPr>
            <w:tcW w:w="4371" w:type="dxa"/>
            <w:shd w:val="clear" w:color="auto" w:fill="F3F3F3"/>
            <w:vAlign w:val="center"/>
          </w:tcPr>
          <w:p>
            <w:pPr>
              <w:widowControl/>
              <w:adjustRightInd w:val="0"/>
              <w:snapToGrid w:val="0"/>
              <w:rPr>
                <w:rFonts w:ascii="微软雅黑" w:hAnsi="微软雅黑" w:eastAsia="微软雅黑" w:cs="微软雅黑"/>
                <w:color w:val="003366"/>
                <w:sz w:val="20"/>
                <w:szCs w:val="20"/>
              </w:rPr>
            </w:pPr>
            <w:r>
              <w:rPr>
                <w:rFonts w:ascii="Calibri" w:hAnsi="Calibri" w:eastAsia="宋体" w:cs="Times New Roman"/>
                <w:kern w:val="2"/>
                <w:sz w:val="21"/>
                <w:szCs w:val="22"/>
                <w:lang w:val="en-US" w:eastAsia="zh-CN"/>
              </w:rPr>
              <w:drawing>
                <wp:inline distT="0" distB="0" distL="114300" distR="114300">
                  <wp:extent cx="2962275" cy="2447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lum/>
                          </a:blip>
                          <a:stretch>
                            <a:fillRect/>
                          </a:stretch>
                        </pic:blipFill>
                        <pic:spPr>
                          <a:xfrm>
                            <a:off x="0" y="0"/>
                            <a:ext cx="2962275" cy="2447925"/>
                          </a:xfrm>
                          <a:prstGeom prst="rect">
                            <a:avLst/>
                          </a:prstGeom>
                          <a:noFill/>
                          <a:ln w="9525">
                            <a:noFill/>
                          </a:ln>
                        </pic:spPr>
                      </pic:pic>
                    </a:graphicData>
                  </a:graphic>
                </wp:inline>
              </w:drawing>
            </w:r>
          </w:p>
        </w:tc>
        <w:tc>
          <w:tcPr>
            <w:tcW w:w="5633" w:type="dxa"/>
            <w:gridSpan w:val="4"/>
            <w:shd w:val="clear" w:color="auto" w:fill="F3F3F3"/>
            <w:vAlign w:val="center"/>
          </w:tcPr>
          <w:p>
            <w:pPr>
              <w:widowControl/>
              <w:adjustRightInd w:val="0"/>
              <w:snapToGrid w:val="0"/>
              <w:rPr>
                <w:rFonts w:ascii="微软雅黑" w:hAnsi="微软雅黑" w:eastAsia="微软雅黑" w:cs="微软雅黑"/>
                <w:color w:val="003366"/>
                <w:sz w:val="20"/>
                <w:szCs w:val="20"/>
              </w:rPr>
            </w:pPr>
            <w:r>
              <w:rPr>
                <w:rFonts w:ascii="Calibri" w:hAnsi="Calibri" w:eastAsia="宋体" w:cs="Times New Roman"/>
                <w:kern w:val="2"/>
                <w:sz w:val="21"/>
                <w:szCs w:val="22"/>
                <w:lang w:val="en-US" w:eastAsia="zh-CN"/>
              </w:rPr>
              <w:drawing>
                <wp:inline distT="0" distB="0" distL="114300" distR="114300">
                  <wp:extent cx="2905125" cy="23907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lum/>
                          </a:blip>
                          <a:stretch>
                            <a:fillRect/>
                          </a:stretch>
                        </pic:blipFill>
                        <pic:spPr>
                          <a:xfrm>
                            <a:off x="0" y="0"/>
                            <a:ext cx="2905125" cy="2390775"/>
                          </a:xfrm>
                          <a:prstGeom prst="rect">
                            <a:avLst/>
                          </a:prstGeom>
                          <a:noFill/>
                          <a:ln w="9525">
                            <a:noFill/>
                          </a:ln>
                        </pic:spPr>
                      </pic:pic>
                    </a:graphicData>
                  </a:graphic>
                </wp:inline>
              </w:drawing>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791" w:hRule="atLeast"/>
        </w:trPr>
        <w:tc>
          <w:tcPr>
            <w:tcW w:w="1451" w:type="dxa"/>
            <w:shd w:val="clear" w:color="auto" w:fill="000000"/>
            <w:vAlign w:val="center"/>
          </w:tcPr>
          <w:p>
            <w:pPr>
              <w:pStyle w:val="4"/>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蒙特利尔介绍</w:t>
            </w:r>
          </w:p>
        </w:tc>
        <w:tc>
          <w:tcPr>
            <w:tcW w:w="240" w:type="dxa"/>
            <w:shd w:val="clear" w:color="auto" w:fill="FF0000"/>
            <w:vAlign w:val="top"/>
          </w:tcPr>
          <w:p>
            <w:pPr>
              <w:pStyle w:val="4"/>
              <w:adjustRightInd w:val="0"/>
              <w:snapToGrid w:val="0"/>
              <w:ind w:firstLine="0" w:firstLineChars="0"/>
              <w:jc w:val="center"/>
              <w:rPr>
                <w:rFonts w:ascii="微软雅黑" w:hAnsi="微软雅黑" w:eastAsia="微软雅黑" w:cs="微软雅黑"/>
                <w:color w:val="003366"/>
                <w:sz w:val="20"/>
                <w:szCs w:val="20"/>
              </w:rPr>
            </w:pPr>
          </w:p>
        </w:tc>
        <w:tc>
          <w:tcPr>
            <w:tcW w:w="9106" w:type="dxa"/>
            <w:gridSpan w:val="4"/>
            <w:shd w:val="clear" w:color="auto" w:fill="F3F3F3"/>
            <w:vAlign w:val="center"/>
          </w:tcPr>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蒙特利尔</w:t>
            </w:r>
            <w:r>
              <w:rPr>
                <w:rFonts w:ascii="微软雅黑" w:hAnsi="微软雅黑" w:eastAsia="微软雅黑" w:cs="微软雅黑"/>
                <w:color w:val="003366"/>
                <w:sz w:val="20"/>
                <w:szCs w:val="20"/>
              </w:rPr>
              <w:t>（Montreal）</w:t>
            </w:r>
            <w:r>
              <w:rPr>
                <w:rFonts w:hint="eastAsia" w:ascii="微软雅黑" w:hAnsi="微软雅黑" w:eastAsia="微软雅黑" w:cs="微软雅黑"/>
                <w:color w:val="003366"/>
                <w:sz w:val="20"/>
                <w:szCs w:val="20"/>
              </w:rPr>
              <w:t>地处加拿大魁北克省西南方的圣劳伦斯谷地，位于省会魁北克城西南约275公里，首都渥太华东边190公里，最大城市多伦多东北方550公里，纽约市北方625公里。蒙特利尔是世界上最内陆的海港（也是河港），整个城市坐落于圣劳伦斯河与渥太华河汇流处的蒙特利尔岛上。蒙特利尔因其市中心的皇家山（古法语：MontRéal英语：MontRoyal）而得名。</w:t>
            </w:r>
          </w:p>
          <w:p>
            <w:pPr>
              <w:pStyle w:val="4"/>
              <w:adjustRightInd w:val="0"/>
              <w:snapToGrid w:val="0"/>
              <w:ind w:firstLine="0" w:firstLineChars="0"/>
              <w:rPr>
                <w:rFonts w:ascii="微软雅黑" w:hAnsi="微软雅黑" w:eastAsia="微软雅黑" w:cs="微软雅黑"/>
                <w:color w:val="003366"/>
                <w:sz w:val="20"/>
                <w:szCs w:val="20"/>
              </w:rPr>
            </w:pPr>
          </w:p>
          <w:p>
            <w:pPr>
              <w:pStyle w:val="4"/>
              <w:adjustRightInd w:val="0"/>
              <w:snapToGrid w:val="0"/>
              <w:ind w:firstLine="0" w:firstLineChars="0"/>
              <w:rPr>
                <w:rFonts w:ascii="微软雅黑" w:hAnsi="微软雅黑" w:eastAsia="微软雅黑" w:cs="微软雅黑"/>
                <w:color w:val="003366"/>
                <w:sz w:val="20"/>
                <w:szCs w:val="20"/>
              </w:rPr>
            </w:pPr>
            <w:r>
              <w:rPr>
                <w:rFonts w:ascii="微软雅黑" w:hAnsi="微软雅黑" w:eastAsia="微软雅黑" w:cs="微软雅黑"/>
                <w:color w:val="003366"/>
                <w:sz w:val="20"/>
                <w:szCs w:val="20"/>
              </w:rPr>
              <w:t>蒙特利尔是加拿大第二大城市、魁北克省最大城市。曾经是加拿大20世纪70年代前的最大城市，是加拿大著名的工商业和金融中心，该市是典型的英法双语城市。因为全市的哥特式教堂林立和法语居民占多数，体现出独特的法国文化底蕴，被认为是北美的“浪漫之都”。蒙特利尔是一个繁荣的国际大都市，其独特的文化个性、优美的城市风光、闲适的生活情调多次被评为全球最适宜人类居住的城市之一，同时也是是加拿大历史最悠久的城市，具有浓郁的拉丁气息。</w:t>
            </w:r>
          </w:p>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蒙特利尔市中心包括玛莉亚城(Ville-Marie），位于罗亚尔山下，上接罗亚尔山公园，下临圣劳伦斯河。市中心最繁华的街道圣凯瑟琳街(Rue Sainte-Catherine）是加拿大规模最大的商业街。河岸的对面的圣母岛(Ile-de-St-Hélène）每年举行一级方程式赛车。</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shd w:val="clear"/>
          <w:tblLayout w:type="fixed"/>
          <w:tblCellMar>
            <w:top w:w="0" w:type="dxa"/>
            <w:left w:w="108" w:type="dxa"/>
            <w:bottom w:w="0" w:type="dxa"/>
            <w:right w:w="108" w:type="dxa"/>
          </w:tblCellMar>
        </w:tblPrEx>
        <w:trPr>
          <w:gridAfter w:val="1"/>
          <w:wAfter w:w="898" w:type="dxa"/>
          <w:trHeight w:val="458" w:hRule="atLeast"/>
        </w:trPr>
        <w:tc>
          <w:tcPr>
            <w:tcW w:w="1451" w:type="dxa"/>
            <w:shd w:val="clear" w:color="auto" w:fill="000000"/>
            <w:vAlign w:val="center"/>
          </w:tcPr>
          <w:p>
            <w:pPr>
              <w:pStyle w:val="4"/>
              <w:adjustRightInd w:val="0"/>
              <w:snapToGrid w:val="0"/>
              <w:ind w:firstLine="0" w:firstLineChars="0"/>
              <w:jc w:val="center"/>
              <w:rPr>
                <w:rFonts w:ascii="微软雅黑" w:hAnsi="微软雅黑" w:eastAsia="微软雅黑" w:cs="微软雅黑"/>
                <w:bCs/>
                <w:color w:val="FFFFFF"/>
                <w:sz w:val="20"/>
                <w:szCs w:val="20"/>
              </w:rPr>
            </w:pPr>
            <w:r>
              <w:rPr>
                <w:rFonts w:hint="eastAsia" w:ascii="微软雅黑" w:hAnsi="微软雅黑" w:eastAsia="微软雅黑" w:cs="微软雅黑"/>
                <w:bCs/>
                <w:color w:val="FFFFFF"/>
                <w:sz w:val="20"/>
                <w:szCs w:val="20"/>
              </w:rPr>
              <w:t>城市交通</w:t>
            </w:r>
          </w:p>
        </w:tc>
        <w:tc>
          <w:tcPr>
            <w:tcW w:w="240" w:type="dxa"/>
            <w:shd w:val="clear" w:color="auto" w:fill="FF0000"/>
            <w:vAlign w:val="top"/>
          </w:tcPr>
          <w:p>
            <w:pPr>
              <w:pStyle w:val="4"/>
              <w:adjustRightInd w:val="0"/>
              <w:snapToGrid w:val="0"/>
              <w:ind w:firstLine="0" w:firstLineChars="0"/>
              <w:jc w:val="center"/>
              <w:rPr>
                <w:rFonts w:ascii="微软雅黑" w:hAnsi="微软雅黑" w:eastAsia="微软雅黑" w:cs="微软雅黑"/>
                <w:color w:val="003366"/>
                <w:sz w:val="20"/>
                <w:szCs w:val="20"/>
              </w:rPr>
            </w:pPr>
          </w:p>
        </w:tc>
        <w:tc>
          <w:tcPr>
            <w:tcW w:w="9106" w:type="dxa"/>
            <w:gridSpan w:val="4"/>
            <w:shd w:val="clear" w:color="auto" w:fill="F3F3F3"/>
            <w:vAlign w:val="center"/>
          </w:tcPr>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步行：</w:t>
            </w:r>
          </w:p>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蒙特利尔是一个干净、美丽、古老的历史名城，特色建筑随处可见。</w:t>
            </w:r>
          </w:p>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自行车：整个城市提倡环保，所以随处可见骑自行车的行人。所以学生可以租一辆自行车，上学游览都方便。学生租用自行车是享受优惠的：http://www.mcgill.ca/transport/cycling/</w:t>
            </w:r>
          </w:p>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巴士：</w:t>
            </w:r>
          </w:p>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学校有Shuttle Bus：http://www.mcgill.ca/transport/shuttle/</w:t>
            </w:r>
          </w:p>
          <w:p>
            <w:pPr>
              <w:pStyle w:val="4"/>
              <w:adjustRightInd w:val="0"/>
              <w:snapToGrid w:val="0"/>
              <w:ind w:firstLine="0" w:firstLineChars="0"/>
              <w:rPr>
                <w:rFonts w:ascii="微软雅黑" w:hAnsi="微软雅黑" w:eastAsia="微软雅黑" w:cs="微软雅黑"/>
                <w:color w:val="003366"/>
                <w:sz w:val="20"/>
                <w:szCs w:val="20"/>
              </w:rPr>
            </w:pPr>
            <w:r>
              <w:rPr>
                <w:rFonts w:hint="eastAsia" w:ascii="微软雅黑" w:hAnsi="微软雅黑" w:eastAsia="微软雅黑" w:cs="微软雅黑"/>
                <w:color w:val="003366"/>
                <w:sz w:val="20"/>
                <w:szCs w:val="20"/>
              </w:rPr>
              <w:t>公共交通：http://www.mcgill.ca/transport/transit/（学生有优惠）</w:t>
            </w:r>
          </w:p>
        </w:tc>
      </w:tr>
    </w:tbl>
    <w:p>
      <w:pPr>
        <w:ind w:left="-619" w:leftChars="-295" w:firstLine="2" w:firstLineChars="0"/>
      </w:pPr>
    </w:p>
    <w:sectPr>
      <w:pgSz w:w="11906" w:h="16838"/>
      <w:pgMar w:top="1440" w:right="1800" w:bottom="1440"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方正舒体">
    <w:altName w:val="微软雅黑"/>
    <w:panose1 w:val="00000000000000000000"/>
    <w:charset w:val="00"/>
    <w:family w:val="auto"/>
    <w:pitch w:val="default"/>
    <w:sig w:usb0="00000000" w:usb1="00000000" w:usb2="00000000" w:usb3="00000000" w:csb0="00040000" w:csb1="00000000"/>
  </w:font>
  <w:font w:name="华文行楷">
    <w:altName w:val="微软雅黑"/>
    <w:panose1 w:val="00000000000000000000"/>
    <w:charset w:val="00"/>
    <w:family w:val="auto"/>
    <w:pitch w:val="default"/>
    <w:sig w:usb0="00000000" w:usb1="00000000" w:usb2="00000000" w:usb3="00000000" w:csb0="00040000" w:csb1="00000000"/>
  </w:font>
  <w:font w:name="Adobe Garamond Pro Bold">
    <w:altName w:val="Times New Roman"/>
    <w:panose1 w:val="00000000000000000000"/>
    <w:charset w:val="00"/>
    <w:family w:val="auto"/>
    <w:pitch w:val="default"/>
    <w:sig w:usb0="00000000"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6B65DE"/>
    <w:rsid w:val="656B65DE"/>
    <w:rsid w:val="6C1127A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customStyle="1" w:styleId="4">
    <w:name w:val="列出段落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2016-11-08T14:28:00Z</dcterms:created>
  <dc:creator>daiyawen</dc:creator>
  <cp:lastModifiedBy>daiyawen</cp:lastModifiedBy>
  <dcterms:modified xsi:type="dcterms:W3CDTF">2016-11-08T14:33:30Z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